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numPr>
          <w:ilvl w:val="0"/>
          <w:numId w:val="1"/>
        </w:numPr>
        <w:jc w:val="right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</w:r>
    </w:p>
    <w:p>
      <w:pPr>
        <w:pStyle w:val="Intestazione"/>
        <w:numPr>
          <w:ilvl w:val="0"/>
          <w:numId w:val="1"/>
        </w:numPr>
        <w:jc w:val="right"/>
        <w:rPr/>
      </w:pPr>
      <w:r>
        <w:rPr>
          <w:rFonts w:ascii="Garamond" w:hAnsi="Garamond"/>
          <w:b/>
          <w:position w:val="22"/>
          <w:sz w:val="24"/>
          <w:szCs w:val="24"/>
        </w:rPr>
        <w:t xml:space="preserve">Allegato 3 alla </w:t>
      </w:r>
      <w:r>
        <w:rPr>
          <w:rFonts w:cs="Times New Roman" w:ascii="Garamond" w:hAnsi="Garamond"/>
          <w:b/>
          <w:position w:val="22"/>
          <w:sz w:val="24"/>
          <w:szCs w:val="24"/>
        </w:rPr>
        <w:t>delibera ANAC n. 2</w:t>
      </w:r>
      <w:bookmarkStart w:id="0" w:name="_GoBack"/>
      <w:bookmarkEnd w:id="0"/>
      <w:r>
        <w:rPr>
          <w:rFonts w:cs="Times New Roman" w:ascii="Garamond" w:hAnsi="Garamond"/>
          <w:b/>
          <w:position w:val="22"/>
          <w:sz w:val="24"/>
          <w:szCs w:val="24"/>
        </w:rPr>
        <w:t>94/202</w:t>
      </w:r>
      <w:r>
        <w:rPr>
          <w:rFonts w:eastAsia="Times New Roman" w:cs="Times New Roman" w:ascii="Garamond" w:hAnsi="Garamond"/>
          <w:b/>
          <w:color w:val="auto"/>
          <w:kern w:val="0"/>
          <w:position w:val="22"/>
          <w:sz w:val="24"/>
          <w:szCs w:val="24"/>
          <w:lang w:val="it-IT" w:eastAsia="ar-SA" w:bidi="ar-SA"/>
        </w:rPr>
        <w:t>1</w:t>
      </w:r>
    </w:p>
    <w:p>
      <w:pPr>
        <w:pStyle w:val="Titoloprincipale"/>
        <w:numPr>
          <w:ilvl w:val="0"/>
          <w:numId w:val="1"/>
        </w:numPr>
        <w:rPr/>
      </w:pPr>
      <w:r>
        <w:rPr>
          <w:rFonts w:ascii="Garamond" w:hAnsi="Garamond"/>
          <w:position w:val="22"/>
          <w:sz w:val="24"/>
          <w:szCs w:val="24"/>
        </w:rPr>
        <w:t>Scheda di sintesi sulla rilevazione degli OIV o organismi con funzioni analoghe</w:t>
      </w:r>
    </w:p>
    <w:p>
      <w:pPr>
        <w:pStyle w:val="ListParagraph"/>
        <w:spacing w:lineRule="auto" w:line="360"/>
        <w:ind w:left="0" w:hanging="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Data di svolgimento della rilevazione</w:t>
      </w:r>
    </w:p>
    <w:p>
      <w:pPr>
        <w:pStyle w:val="ListParagraph"/>
        <w:spacing w:lineRule="auto" w:line="276" w:before="0" w:after="0"/>
        <w:ind w:left="0" w:hanging="0"/>
        <w:rPr/>
      </w:pPr>
      <w:r>
        <w:rPr>
          <w:rFonts w:ascii="Garamond" w:hAnsi="Garamond"/>
        </w:rPr>
        <w:t xml:space="preserve">Data di inizio rilevazione: </w:t>
      </w:r>
      <w:r>
        <w:rPr>
          <w:rFonts w:eastAsia="Times New Roman" w:cs="Cambria" w:ascii="Garamond" w:hAnsi="Garamond"/>
          <w:color w:val="auto"/>
          <w:kern w:val="0"/>
          <w:sz w:val="24"/>
          <w:szCs w:val="24"/>
          <w:lang w:val="it-IT" w:eastAsia="ar-SA" w:bidi="ar-SA"/>
        </w:rPr>
        <w:t>10</w:t>
      </w:r>
      <w:r>
        <w:rPr>
          <w:rFonts w:ascii="Garamond" w:hAnsi="Garamond"/>
        </w:rPr>
        <w:t>/06/2020</w:t>
      </w:r>
    </w:p>
    <w:p>
      <w:pPr>
        <w:pStyle w:val="ListParagraph"/>
        <w:spacing w:lineRule="auto" w:line="276" w:before="0" w:after="0"/>
        <w:ind w:left="0" w:hanging="0"/>
        <w:rPr>
          <w:u w:val="none"/>
        </w:rPr>
      </w:pPr>
      <w:r>
        <w:rPr>
          <w:rFonts w:ascii="Garamond" w:hAnsi="Garamond"/>
          <w:u w:val="none"/>
        </w:rPr>
        <w:t xml:space="preserve">Data di fine rilevazione: </w:t>
      </w:r>
      <w:r>
        <w:rPr>
          <w:rFonts w:eastAsia="Times New Roman" w:cs="Cambria" w:ascii="Garamond" w:hAnsi="Garamond"/>
          <w:color w:val="auto"/>
          <w:kern w:val="0"/>
          <w:sz w:val="24"/>
          <w:szCs w:val="24"/>
          <w:u w:val="none"/>
          <w:lang w:val="it-IT" w:eastAsia="ar-SA" w:bidi="ar-SA"/>
        </w:rPr>
        <w:t>17</w:t>
      </w:r>
      <w:r>
        <w:rPr>
          <w:rFonts w:ascii="Garamond" w:hAnsi="Garamond"/>
          <w:u w:val="none"/>
        </w:rPr>
        <w:t>/06/2020</w:t>
      </w:r>
    </w:p>
    <w:p>
      <w:pPr>
        <w:pStyle w:val="ListParagraph"/>
        <w:spacing w:lineRule="auto" w:line="276"/>
        <w:ind w:left="0" w:hanging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before="0" w:after="0"/>
        <w:ind w:left="0" w:hanging="0"/>
        <w:rPr/>
      </w:pPr>
      <w:r>
        <w:rPr>
          <w:rFonts w:ascii="Garamond" w:hAnsi="Garamond"/>
          <w:b/>
          <w:i/>
        </w:rPr>
        <w:t>Estensione della rilevazione (nel solo caso di amministrazioni/enti con uffici periferici)</w:t>
      </w:r>
    </w:p>
    <w:p>
      <w:pPr>
        <w:pStyle w:val="ListParagraph"/>
        <w:spacing w:before="0" w:after="0"/>
        <w:ind w:left="0" w:hanging="0"/>
        <w:rPr>
          <w:rFonts w:ascii="Garamond" w:hAnsi="Garamond"/>
          <w:b/>
          <w:b/>
          <w:u w:val="single"/>
        </w:rPr>
      </w:pPr>
      <w:r>
        <w:rPr>
          <w:rFonts w:ascii="Garamond" w:hAnsi="Garamond"/>
          <w:b/>
          <w:u w:val="single"/>
        </w:rPr>
      </w:r>
    </w:p>
    <w:p>
      <w:pPr>
        <w:pStyle w:val="ListParagraph"/>
        <w:spacing w:lineRule="auto" w:line="360" w:before="0" w:after="0"/>
        <w:ind w:left="0" w:hanging="0"/>
        <w:rPr/>
      </w:pPr>
      <w:r>
        <w:rPr>
          <w:rFonts w:ascii="Garamond" w:hAnsi="Garamond"/>
        </w:rPr>
        <w:t>La Società non detiene uffici periferici e articolazioni organizzative autonomi.</w:t>
      </w:r>
    </w:p>
    <w:p>
      <w:pPr>
        <w:pStyle w:val="ListParagraph"/>
        <w:spacing w:lineRule="auto" w:line="276" w:before="0" w:after="0"/>
        <w:ind w:left="720" w:hanging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lineRule="auto" w:line="360"/>
        <w:ind w:left="0" w:hanging="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 xml:space="preserve">Procedure e modalità seguite per la rilevazione </w:t>
      </w:r>
    </w:p>
    <w:p>
      <w:pPr>
        <w:pStyle w:val="Normal"/>
        <w:keepNext w:val="true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/>
        <w:jc w:val="both"/>
        <w:rPr/>
      </w:pPr>
      <w:r>
        <w:rPr>
          <w:rFonts w:ascii="Garamond" w:hAnsi="Garamond"/>
          <w:b w:val="false"/>
          <w:i w:val="false"/>
          <w:color w:val="000000"/>
          <w:sz w:val="24"/>
          <w:u w:val="none"/>
          <w:lang w:val="it"/>
        </w:rPr>
        <w:t>verifiche degli adempimenti relativi agli obblighi di pubblicazione;</w:t>
      </w:r>
    </w:p>
    <w:p>
      <w:pPr>
        <w:pStyle w:val="Normal"/>
        <w:keepNext w:val="true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/>
        <w:jc w:val="both"/>
        <w:rPr/>
      </w:pPr>
      <w:r>
        <w:rPr>
          <w:rFonts w:ascii="Garamond" w:hAnsi="Garamond"/>
          <w:b w:val="false"/>
          <w:i w:val="false"/>
          <w:color w:val="000000"/>
          <w:sz w:val="24"/>
          <w:u w:val="none"/>
          <w:lang w:val="it"/>
        </w:rPr>
        <w:t>ricerca  ed esame della documentazione a completamento  dei dati oggetto di attestazione;</w:t>
      </w:r>
    </w:p>
    <w:p>
      <w:pPr>
        <w:pStyle w:val="Normal"/>
        <w:keepNext w:val="true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/>
        <w:jc w:val="both"/>
        <w:rPr/>
      </w:pPr>
      <w:r>
        <w:rPr>
          <w:rFonts w:ascii="Garamond" w:hAnsi="Garamond"/>
          <w:b w:val="false"/>
          <w:i w:val="false"/>
          <w:color w:val="000000"/>
          <w:sz w:val="24"/>
          <w:u w:val="none"/>
          <w:lang w:val="it"/>
        </w:rPr>
        <w:t>coordinamento con i responsabili degli uffici e gli addetti alla trasmissione dei dati nonché verifica di quanto oggetto di attestazione;</w:t>
      </w:r>
    </w:p>
    <w:p>
      <w:pPr>
        <w:pStyle w:val="Normal"/>
        <w:keepNext w:val="true"/>
        <w:widowControl w:val="false"/>
        <w:numPr>
          <w:ilvl w:val="0"/>
          <w:numId w:val="2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0"/>
        <w:jc w:val="both"/>
        <w:rPr>
          <w:rFonts w:ascii="Garamond" w:hAnsi="Garamond"/>
          <w:u w:val="single"/>
        </w:rPr>
      </w:pPr>
      <w:r>
        <w:rPr>
          <w:rFonts w:ascii="Garamond" w:hAnsi="Garamond"/>
          <w:b w:val="false"/>
          <w:i w:val="false"/>
          <w:color w:val="000000"/>
          <w:sz w:val="24"/>
          <w:u w:val="none"/>
          <w:lang w:val="it"/>
        </w:rPr>
        <w:t>verifiche sul sito istituzionale.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0"/>
        <w:ind w:left="700" w:hanging="0"/>
        <w:jc w:val="both"/>
        <w:rPr>
          <w:b w:val="false"/>
          <w:b w:val="false"/>
          <w:i w:val="false"/>
          <w:i w:val="false"/>
          <w:color w:val="000000"/>
          <w:sz w:val="24"/>
          <w:u w:val="none"/>
          <w:lang w:val="it"/>
        </w:rPr>
      </w:pPr>
      <w:r>
        <w:rPr>
          <w:b w:val="false"/>
          <w:i w:val="false"/>
          <w:color w:val="000000"/>
          <w:sz w:val="24"/>
          <w:u w:val="none"/>
          <w:lang w:val="it"/>
        </w:rPr>
      </w:r>
    </w:p>
    <w:p>
      <w:pPr>
        <w:pStyle w:val="Normal"/>
        <w:spacing w:lineRule="auto" w:line="36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Aspetti critici riscontrati nel corso della rilevazione</w:t>
      </w:r>
    </w:p>
    <w:p>
      <w:pPr>
        <w:pStyle w:val="Normal"/>
        <w:spacing w:lineRule="auto" w:line="360"/>
        <w:rPr>
          <w:rFonts w:ascii="Garamond" w:hAnsi="Garamond"/>
          <w:b/>
          <w:b/>
          <w:u w:val="single"/>
        </w:rPr>
      </w:pPr>
      <w:r>
        <w:rPr>
          <w:rFonts w:ascii="Garamond" w:hAnsi="Garamond"/>
          <w:b w:val="false"/>
          <w:bCs w:val="false"/>
          <w:u w:val="none"/>
        </w:rPr>
        <w:t>Si riscontrano criticità sporadicamente in relazione alle tempistiche di aggiornamento e trasmissione dei dati.</w:t>
      </w:r>
    </w:p>
    <w:p>
      <w:pPr>
        <w:pStyle w:val="Normal"/>
        <w:spacing w:lineRule="auto" w:line="360"/>
        <w:rPr>
          <w:rFonts w:ascii="Garamond" w:hAnsi="Garamond"/>
          <w:b/>
          <w:b/>
          <w:u w:val="single"/>
        </w:rPr>
      </w:pPr>
      <w:r>
        <w:rPr>
          <w:rFonts w:ascii="Garamond" w:hAnsi="Garamond"/>
          <w:b/>
          <w:u w:val="single"/>
        </w:rPr>
      </w:r>
    </w:p>
    <w:p>
      <w:pPr>
        <w:pStyle w:val="Normal"/>
        <w:spacing w:lineRule="auto" w:line="360"/>
        <w:rPr/>
      </w:pPr>
      <w:r>
        <w:rPr>
          <w:rFonts w:ascii="Garamond" w:hAnsi="Garamond"/>
          <w:b/>
          <w:i/>
        </w:rPr>
        <w:t>Eventuale documentazione da allegare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Garamond" w:hAnsi="Garamond"/>
          <w:b w:val="false"/>
          <w:bCs w:val="false"/>
          <w:i w:val="false"/>
          <w:iCs w:val="false"/>
        </w:rPr>
        <w:t>Nessun allegato.</w:t>
      </w:r>
    </w:p>
    <w:p>
      <w:pPr>
        <w:pStyle w:val="Normal"/>
        <w:spacing w:lineRule="auto" w:line="36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360"/>
        <w:rPr/>
      </w:pPr>
      <w:r>
        <w:rPr>
          <w:rFonts w:ascii="Garamond" w:hAnsi="Garamond"/>
          <w:b w:val="false"/>
          <w:bCs w:val="false"/>
          <w:i w:val="false"/>
          <w:iCs w:val="false"/>
        </w:rPr>
        <w:t xml:space="preserve">Vicenza </w:t>
      </w:r>
      <w:r>
        <w:rPr>
          <w:rFonts w:eastAsia="Times New Roman" w:cs="Cambria" w:ascii="Garamond" w:hAnsi="Garamond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it-IT" w:eastAsia="ar-SA" w:bidi="ar-SA"/>
        </w:rPr>
        <w:t>17</w:t>
      </w:r>
      <w:r>
        <w:rPr>
          <w:rFonts w:ascii="Garamond" w:hAnsi="Garamond"/>
          <w:b w:val="false"/>
          <w:bCs w:val="false"/>
          <w:i w:val="false"/>
          <w:iCs w:val="false"/>
        </w:rPr>
        <w:t>.0</w:t>
      </w:r>
      <w:r>
        <w:rPr>
          <w:rFonts w:eastAsia="Times New Roman" w:cs="Cambria" w:ascii="Garamond" w:hAnsi="Garamond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it-IT" w:eastAsia="ar-SA" w:bidi="ar-SA"/>
        </w:rPr>
        <w:t>6</w:t>
      </w:r>
      <w:r>
        <w:rPr>
          <w:rFonts w:ascii="Garamond" w:hAnsi="Garamond"/>
          <w:b w:val="false"/>
          <w:bCs w:val="false"/>
          <w:i w:val="false"/>
          <w:iCs w:val="false"/>
        </w:rPr>
        <w:t>.202</w:t>
      </w:r>
      <w:r>
        <w:rPr>
          <w:rFonts w:eastAsia="Times New Roman" w:cs="Cambria" w:ascii="Garamond" w:hAnsi="Garamond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it-IT" w:eastAsia="ar-SA" w:bidi="ar-SA"/>
        </w:rPr>
        <w:t>1</w:t>
      </w:r>
    </w:p>
    <w:p>
      <w:pPr>
        <w:pStyle w:val="Normal"/>
        <w:ind w:left="5046" w:right="0" w:hanging="0"/>
        <w:rPr/>
      </w:pPr>
      <w:r>
        <w:rPr/>
        <w:t>Il RTPC</w:t>
      </w:r>
    </w:p>
    <w:p>
      <w:pPr>
        <w:pStyle w:val="Normal"/>
        <w:ind w:left="5046" w:right="0" w:hanging="0"/>
        <w:rPr/>
      </w:pPr>
      <w:r>
        <w:rPr/>
        <w:t>di Vi.abilità S.R.L.</w:t>
      </w:r>
    </w:p>
    <w:p>
      <w:pPr>
        <w:pStyle w:val="Normal"/>
        <w:spacing w:lineRule="auto" w:line="360" w:before="0" w:after="120"/>
        <w:ind w:left="5046" w:right="0" w:hanging="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Garamond" w:hAnsi="Garamond"/>
          <w:b/>
          <w:bCs/>
          <w:i w:val="false"/>
          <w:iCs w:val="false"/>
        </w:rPr>
        <w:t xml:space="preserve">dott. arch. Laura Cazzanello </w:t>
      </w:r>
      <w:r>
        <w:rPr>
          <w:rFonts w:ascii="Garamond" w:hAnsi="Garamond"/>
          <w:b w:val="false"/>
          <w:bCs w:val="false"/>
          <w:i w:val="false"/>
          <w:iCs w:val="false"/>
        </w:rPr>
        <w:t xml:space="preserve">  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rFonts w:ascii="Garamond" w:hAnsi="Garamond" w:cs="Times New Roman"/>
        <w:b/>
        <w:b/>
      </w:rPr>
    </w:pPr>
    <w:r>
      <w:rPr>
        <w:rFonts w:cs="Times New Roman" w:ascii="Garamond" w:hAnsi="Garamond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keepNext w:val="true"/>
      <w:widowControl w:val="false"/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auto"/>
      <w:kern w:val="0"/>
      <w:sz w:val="24"/>
      <w:szCs w:val="24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>
    <w:name w:val="Richiamo alla nota a piè di pagina"/>
    <w:rPr>
      <w:sz w:val="14"/>
      <w:vertAlign w:val="superscript"/>
    </w:rPr>
  </w:style>
  <w:style w:type="character" w:styleId="FootnoteCharacters">
    <w:name w:val="Footnote Characters"/>
    <w:basedOn w:val="DefaultParagraphFont"/>
    <w:qFormat/>
    <w:rPr>
      <w:sz w:val="14"/>
    </w:rPr>
  </w:style>
  <w:style w:type="character" w:styleId="TestonotaapidipaginaCarattere" w:customStyle="1">
    <w:name w:val="Testo nota a piè di pagina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itoloCarattere" w:customStyle="1">
    <w:name w:val="Titolo Carattere"/>
    <w:basedOn w:val="DefaultParagraphFont"/>
    <w:qFormat/>
    <w:rPr>
      <w:rFonts w:ascii="Times New Roman" w:hAnsi="Times New Roman" w:eastAsia="Times New Roman" w:cs="Times New Roman"/>
      <w:b/>
      <w:bCs/>
      <w:i/>
      <w:sz w:val="36"/>
      <w:szCs w:val="32"/>
      <w:lang w:eastAsia="ar-SA"/>
    </w:rPr>
  </w:style>
  <w:style w:type="character" w:styleId="IntestazioneCarattere" w:customStyle="1">
    <w:name w:val="Intestazione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qFormat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WWCharLFO13LVL1" w:customStyle="1">
    <w:name w:val="WW_CharLFO13LVL1"/>
    <w:qFormat/>
    <w:rPr>
      <w:rFonts w:ascii="Times New Roman" w:hAnsi="Times New Roman" w:eastAsia="Times New Roman" w:cs="Times New Roman"/>
    </w:rPr>
  </w:style>
  <w:style w:type="character" w:styleId="WWCharLFO13LVL2" w:customStyle="1">
    <w:name w:val="WW_CharLFO13LVL2"/>
    <w:qFormat/>
    <w:rPr>
      <w:rFonts w:ascii="Courier New" w:hAnsi="Courier New" w:cs="Courier New"/>
    </w:rPr>
  </w:style>
  <w:style w:type="character" w:styleId="WWCharLFO13LVL3" w:customStyle="1">
    <w:name w:val="WW_CharLFO13LVL3"/>
    <w:qFormat/>
    <w:rPr>
      <w:rFonts w:ascii="Wingdings" w:hAnsi="Wingdings"/>
    </w:rPr>
  </w:style>
  <w:style w:type="character" w:styleId="WWCharLFO13LVL4" w:customStyle="1">
    <w:name w:val="WW_CharLFO13LVL4"/>
    <w:qFormat/>
    <w:rPr>
      <w:rFonts w:ascii="Symbol" w:hAnsi="Symbol"/>
    </w:rPr>
  </w:style>
  <w:style w:type="character" w:styleId="WWCharLFO13LVL5" w:customStyle="1">
    <w:name w:val="WW_CharLFO13LVL5"/>
    <w:qFormat/>
    <w:rPr>
      <w:rFonts w:ascii="Courier New" w:hAnsi="Courier New" w:cs="Courier New"/>
    </w:rPr>
  </w:style>
  <w:style w:type="character" w:styleId="WWCharLFO13LVL6" w:customStyle="1">
    <w:name w:val="WW_CharLFO13LVL6"/>
    <w:qFormat/>
    <w:rPr>
      <w:rFonts w:ascii="Wingdings" w:hAnsi="Wingdings"/>
    </w:rPr>
  </w:style>
  <w:style w:type="character" w:styleId="WWCharLFO13LVL7" w:customStyle="1">
    <w:name w:val="WW_CharLFO13LVL7"/>
    <w:qFormat/>
    <w:rPr>
      <w:rFonts w:ascii="Symbol" w:hAnsi="Symbol"/>
    </w:rPr>
  </w:style>
  <w:style w:type="character" w:styleId="WWCharLFO13LVL8" w:customStyle="1">
    <w:name w:val="WW_CharLFO13LVL8"/>
    <w:qFormat/>
    <w:rPr>
      <w:rFonts w:ascii="Courier New" w:hAnsi="Courier New" w:cs="Courier New"/>
    </w:rPr>
  </w:style>
  <w:style w:type="character" w:styleId="WWCharLFO13LVL9" w:customStyle="1">
    <w:name w:val="WW_CharLFO13LVL9"/>
    <w:qFormat/>
    <w:rPr>
      <w:rFonts w:ascii="Wingdings" w:hAnsi="Wingdings"/>
    </w:rPr>
  </w:style>
  <w:style w:type="character" w:styleId="WWCharLFO15LVL1" w:customStyle="1">
    <w:name w:val="WW_CharLFO15LVL1"/>
    <w:qFormat/>
    <w:rPr>
      <w:rFonts w:ascii="Times New Roman" w:hAnsi="Times New Roman" w:eastAsia="Calibri" w:cs="Times New Roman"/>
      <w:sz w:val="20"/>
    </w:rPr>
  </w:style>
  <w:style w:type="character" w:styleId="WWCharLFO15LVL2" w:customStyle="1">
    <w:name w:val="WW_CharLFO15LVL2"/>
    <w:qFormat/>
    <w:rPr>
      <w:rFonts w:ascii="Courier New" w:hAnsi="Courier New" w:cs="Courier New"/>
    </w:rPr>
  </w:style>
  <w:style w:type="character" w:styleId="WWCharLFO15LVL3" w:customStyle="1">
    <w:name w:val="WW_CharLFO15LVL3"/>
    <w:qFormat/>
    <w:rPr>
      <w:rFonts w:ascii="Wingdings" w:hAnsi="Wingdings"/>
    </w:rPr>
  </w:style>
  <w:style w:type="character" w:styleId="WWCharLFO15LVL4" w:customStyle="1">
    <w:name w:val="WW_CharLFO15LVL4"/>
    <w:qFormat/>
    <w:rPr>
      <w:rFonts w:ascii="Symbol" w:hAnsi="Symbol"/>
    </w:rPr>
  </w:style>
  <w:style w:type="character" w:styleId="WWCharLFO15LVL5" w:customStyle="1">
    <w:name w:val="WW_CharLFO15LVL5"/>
    <w:qFormat/>
    <w:rPr>
      <w:rFonts w:ascii="Courier New" w:hAnsi="Courier New" w:cs="Courier New"/>
    </w:rPr>
  </w:style>
  <w:style w:type="character" w:styleId="WWCharLFO15LVL6" w:customStyle="1">
    <w:name w:val="WW_CharLFO15LVL6"/>
    <w:qFormat/>
    <w:rPr>
      <w:rFonts w:ascii="Wingdings" w:hAnsi="Wingdings"/>
    </w:rPr>
  </w:style>
  <w:style w:type="character" w:styleId="WWCharLFO15LVL7" w:customStyle="1">
    <w:name w:val="WW_CharLFO15LVL7"/>
    <w:qFormat/>
    <w:rPr>
      <w:rFonts w:ascii="Symbol" w:hAnsi="Symbol"/>
    </w:rPr>
  </w:style>
  <w:style w:type="character" w:styleId="WWCharLFO15LVL8" w:customStyle="1">
    <w:name w:val="WW_CharLFO15LVL8"/>
    <w:qFormat/>
    <w:rPr>
      <w:rFonts w:ascii="Courier New" w:hAnsi="Courier New" w:cs="Courier New"/>
    </w:rPr>
  </w:style>
  <w:style w:type="character" w:styleId="WWCharLFO15LVL9" w:customStyle="1">
    <w:name w:val="WW_CharLFO15LVL9"/>
    <w:qFormat/>
    <w:rPr>
      <w:rFonts w:ascii="Wingdings" w:hAnsi="Wingdings"/>
    </w:rPr>
  </w:style>
  <w:style w:type="character" w:styleId="Caratteredellanota" w:customStyle="1">
    <w:name w:val="Carattere della not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 w:customStyle="1">
    <w:name w:val="Body Text"/>
    <w:basedOn w:val="Normal"/>
    <w:pPr/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taapidipagina">
    <w:name w:val="Footnote Text"/>
    <w:basedOn w:val="Normal"/>
    <w:pPr/>
    <w:rPr/>
  </w:style>
  <w:style w:type="paragraph" w:styleId="ListParagraph">
    <w:name w:val="List Paragraph"/>
    <w:basedOn w:val="Normal"/>
    <w:qFormat/>
    <w:pPr>
      <w:ind w:left="357" w:hanging="357"/>
    </w:pPr>
    <w:rPr/>
  </w:style>
  <w:style w:type="paragraph" w:styleId="Titoloprincipale">
    <w:name w:val="Title"/>
    <w:basedOn w:val="Normal"/>
    <w:next w:val="Normal"/>
    <w:autoRedefine/>
    <w:qFormat/>
    <w:p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Default" w:customStyle="1">
    <w:name w:val="Default"/>
    <w:qFormat/>
    <w:pPr>
      <w:keepNext w:val="true"/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LibreOffice/7.1.3.2$Windows_X86_64 LibreOffice_project/47f78053abe362b9384784d31a6e56f8511eb1c1</Application>
  <AppVersion>15.0000</AppVersion>
  <Pages>1</Pages>
  <Words>148</Words>
  <Characters>944</Characters>
  <CharactersWithSpaces>1078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2013-12-19T15:41:00Z</dcterms:created>
  <dc:creator>i.siciliani</dc:creator>
  <dc:description/>
  <dc:language>it-IT</dc:language>
  <cp:lastModifiedBy/>
  <cp:lastPrinted>2020-07-03T12:03:07Z</cp:lastPrinted>
  <dcterms:modified xsi:type="dcterms:W3CDTF">2021-06-17T16:12:30Z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